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70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35.333333333333"/>
        <w:gridCol w:w="5235.333333333333"/>
        <w:gridCol w:w="5235.333333333333"/>
        <w:tblGridChange w:id="0">
          <w:tblGrid>
            <w:gridCol w:w="5235.333333333333"/>
            <w:gridCol w:w="5235.333333333333"/>
            <w:gridCol w:w="5235.333333333333"/>
          </w:tblGrid>
        </w:tblGridChange>
      </w:tblGrid>
      <w:tr>
        <w:trPr>
          <w:trHeight w:val="226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Urban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</w:rPr>
              <w:drawing>
                <wp:inline distB="114300" distT="114300" distL="114300" distR="114300">
                  <wp:extent cx="1692638" cy="1173562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15598" l="0" r="0" t="150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638" cy="11735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Suburban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</w:rPr>
              <w:drawing>
                <wp:inline distB="114300" distT="114300" distL="114300" distR="114300">
                  <wp:extent cx="1730737" cy="1150307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737" cy="11503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Rural (countryside)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</w:rPr>
              <w:drawing>
                <wp:inline distB="114300" distT="114300" distL="114300" distR="114300">
                  <wp:extent cx="1702206" cy="1130663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206" cy="11306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